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E2A6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China’s Youth and Children’s Amateur Sports Schools (hereinafter referred to as “amateur sports schools”) have gone through 24 years of development. From the initial model—where students attended regular schools separately, lived and boarded separately, and trained collectively—they have gradually developed into various forms, including ordinary amateur sports schools, key amateur sports schools with “three concentrations” (half study–half training sports secondary schools), and sports schools.</w:t>
      </w:r>
    </w:p>
    <w:p w14:paraId="431B25B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According to 1979 statistics:</w:t>
      </w:r>
    </w:p>
    <w:p w14:paraId="7715EAB1">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 xml:space="preserve">There were more than </w:t>
      </w:r>
      <w:r>
        <w:rPr>
          <w:rStyle w:val="9"/>
          <w:rFonts w:hint="default" w:ascii="Times New Roman" w:hAnsi="Times New Roman" w:cs="Times New Roman"/>
        </w:rPr>
        <w:t>2,300 ordinary amateur sports schools</w:t>
      </w:r>
      <w:r>
        <w:rPr>
          <w:rFonts w:hint="default" w:ascii="Times New Roman" w:hAnsi="Times New Roman" w:cs="Times New Roman"/>
        </w:rPr>
        <w:t xml:space="preserve">, with over </w:t>
      </w:r>
      <w:r>
        <w:rPr>
          <w:rStyle w:val="9"/>
          <w:rFonts w:hint="default" w:ascii="Times New Roman" w:hAnsi="Times New Roman" w:cs="Times New Roman"/>
        </w:rPr>
        <w:t>188,000 students</w:t>
      </w:r>
      <w:r>
        <w:rPr>
          <w:rFonts w:hint="default" w:ascii="Times New Roman" w:hAnsi="Times New Roman" w:cs="Times New Roman"/>
        </w:rPr>
        <w:t>;</w:t>
      </w:r>
    </w:p>
    <w:p w14:paraId="6AB2D4D8">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 xml:space="preserve">More than </w:t>
      </w:r>
      <w:r>
        <w:rPr>
          <w:rStyle w:val="9"/>
          <w:rFonts w:hint="default" w:ascii="Times New Roman" w:hAnsi="Times New Roman" w:cs="Times New Roman"/>
        </w:rPr>
        <w:t>230 key amateur sports schools</w:t>
      </w:r>
      <w:r>
        <w:rPr>
          <w:rFonts w:hint="default" w:ascii="Times New Roman" w:hAnsi="Times New Roman" w:cs="Times New Roman"/>
        </w:rPr>
        <w:t xml:space="preserve">, with over </w:t>
      </w:r>
      <w:r>
        <w:rPr>
          <w:rStyle w:val="9"/>
          <w:rFonts w:hint="default" w:ascii="Times New Roman" w:hAnsi="Times New Roman" w:cs="Times New Roman"/>
        </w:rPr>
        <w:t>29,000 students</w:t>
      </w:r>
      <w:r>
        <w:rPr>
          <w:rFonts w:hint="default" w:ascii="Times New Roman" w:hAnsi="Times New Roman" w:cs="Times New Roman"/>
        </w:rPr>
        <w:t xml:space="preserve">, plus over </w:t>
      </w:r>
      <w:r>
        <w:rPr>
          <w:rStyle w:val="9"/>
          <w:rFonts w:hint="default" w:ascii="Times New Roman" w:hAnsi="Times New Roman" w:cs="Times New Roman"/>
        </w:rPr>
        <w:t>1,000 key classes</w:t>
      </w:r>
      <w:r>
        <w:rPr>
          <w:rFonts w:hint="default" w:ascii="Times New Roman" w:hAnsi="Times New Roman" w:cs="Times New Roman"/>
        </w:rPr>
        <w:t xml:space="preserve"> enrolling more than </w:t>
      </w:r>
      <w:r>
        <w:rPr>
          <w:rStyle w:val="9"/>
          <w:rFonts w:hint="default" w:ascii="Times New Roman" w:hAnsi="Times New Roman" w:cs="Times New Roman"/>
        </w:rPr>
        <w:t>24,000 students</w:t>
      </w:r>
      <w:r>
        <w:rPr>
          <w:rFonts w:hint="default" w:ascii="Times New Roman" w:hAnsi="Times New Roman" w:cs="Times New Roman"/>
        </w:rPr>
        <w:t>;</w:t>
      </w:r>
    </w:p>
    <w:p w14:paraId="2ABCAB31">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Style w:val="9"/>
          <w:rFonts w:hint="default" w:ascii="Times New Roman" w:hAnsi="Times New Roman" w:cs="Times New Roman"/>
        </w:rPr>
        <w:t>17 sports schools</w:t>
      </w:r>
      <w:r>
        <w:rPr>
          <w:rFonts w:hint="default" w:ascii="Times New Roman" w:hAnsi="Times New Roman" w:cs="Times New Roman"/>
        </w:rPr>
        <w:t xml:space="preserve"> nationwide.</w:t>
      </w:r>
    </w:p>
    <w:p w14:paraId="435152C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These three types of schools together enrolled more than </w:t>
      </w:r>
      <w:r>
        <w:rPr>
          <w:rStyle w:val="9"/>
          <w:rFonts w:hint="default" w:ascii="Times New Roman" w:hAnsi="Times New Roman" w:cs="Times New Roman"/>
        </w:rPr>
        <w:t>241,000 students</w:t>
      </w:r>
      <w:r>
        <w:rPr>
          <w:rFonts w:hint="default" w:ascii="Times New Roman" w:hAnsi="Times New Roman" w:cs="Times New Roman"/>
        </w:rPr>
        <w:t xml:space="preserve"> and employed over </w:t>
      </w:r>
      <w:r>
        <w:rPr>
          <w:rStyle w:val="9"/>
          <w:rFonts w:hint="default" w:ascii="Times New Roman" w:hAnsi="Times New Roman" w:cs="Times New Roman"/>
        </w:rPr>
        <w:t>12,000 full-time coaches</w:t>
      </w:r>
      <w:r>
        <w:rPr>
          <w:rFonts w:hint="default" w:ascii="Times New Roman" w:hAnsi="Times New Roman" w:cs="Times New Roman"/>
        </w:rPr>
        <w:t>.</w:t>
      </w:r>
    </w:p>
    <w:p w14:paraId="3713543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From 1972 to 1979, they delivered more than </w:t>
      </w:r>
      <w:r>
        <w:rPr>
          <w:rStyle w:val="9"/>
          <w:rFonts w:hint="default" w:ascii="Times New Roman" w:hAnsi="Times New Roman" w:cs="Times New Roman"/>
        </w:rPr>
        <w:t>20,000 athletes</w:t>
      </w:r>
      <w:r>
        <w:rPr>
          <w:rFonts w:hint="default" w:ascii="Times New Roman" w:hAnsi="Times New Roman" w:cs="Times New Roman"/>
        </w:rPr>
        <w:t xml:space="preserve"> to elite sports teams. Many students became technical backbones in specific sports, and quite a number were admitted to sports institutes and departments. Amateur sports schools have made significant contributions to the development of China’s sports</w:t>
      </w:r>
      <w:r>
        <w:rPr>
          <w:rFonts w:hint="default" w:ascii="Times New Roman" w:hAnsi="Times New Roman" w:cs="Times New Roman"/>
          <w:lang w:val="en-US" w:eastAsia="zh-CN"/>
        </w:rPr>
        <w:t xml:space="preserve"> </w:t>
      </w:r>
      <w:r>
        <w:rPr>
          <w:rFonts w:hint="default" w:ascii="Times New Roman" w:hAnsi="Times New Roman" w:eastAsia="宋体" w:cs="Times New Roman"/>
          <w:sz w:val="24"/>
          <w:szCs w:val="24"/>
        </w:rPr>
        <w:t>cause</w:t>
      </w:r>
      <w:r>
        <w:rPr>
          <w:rFonts w:hint="default" w:ascii="Times New Roman" w:hAnsi="Times New Roman" w:cs="Times New Roman"/>
        </w:rPr>
        <w:t>.</w:t>
      </w:r>
    </w:p>
    <w:p w14:paraId="62E640B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However, in 1977 and 1978, due to various reasons, the number of ordinary amateur sports schools and students declined substantially nationwide, and attendance rates dropped. After the National Amateur Training Work Conference held in Yantai in October 1978, sports commissions at all levels paid renewed attention to amateur training. School work was generally strengthened; after initial rectification and adjustment, school quality improved. Some schools that had temporarily suspended operations resumed training. Greater emphasis was placed on fully implementing the Party’s educational policy, academic performance improved, attendance rates gradually rose, and more schools focused on talent identification and foundational training, leading to improvements in training quality.</w:t>
      </w:r>
    </w:p>
    <w:p w14:paraId="2EB2DBB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Nevertheless, many problems remain. In some areas, organizational leadership is weak and school quality low. Some lack a unified national perspective, focusing only on short-term results while neglecting talent selection and foundational training in physical qualities and basic techniques. In some cases, project layout is irrational and key events are not emphasized. In certain schools, contradictions between academic study and training remain acute.</w:t>
      </w:r>
    </w:p>
    <w:p w14:paraId="6637DAB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 present, China faces a new situation of comprehensively entering the world sports arena. There is an urgent need to raise athletic standards and achieve excellent results in the Olympic Games and world competitions. This is a major issue concerning national honor and dignity. In fulfilling this long-term task, amateur sports schools bear significant responsibility.</w:t>
      </w:r>
    </w:p>
    <w:p w14:paraId="43EBD17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adapt amateur sports school work to the needs of the new situation, over the next two years, in line with the national policy of readjustment, reform, consolidation, and improvement of the economy, emphasis must be placed on consolidation and adjustment. There should generally be no major expansion in numbers, but a substantial improvement in quality.</w:t>
      </w:r>
    </w:p>
    <w:p w14:paraId="0E2BE69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4958DCC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 Conscientiously Carry Out Rectification and Structural Adjustment of Amateur Sports Schools</w:t>
      </w:r>
    </w:p>
    <w:p w14:paraId="64FCE41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(1)</w:t>
      </w:r>
      <w:bookmarkStart w:id="0" w:name="_GoBack"/>
      <w:bookmarkEnd w:id="0"/>
    </w:p>
    <w:p w14:paraId="0869793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Through rectification, further clarify guiding principles, strengthen organizational leadership, establish necessary rules and regulations, improve the ideological and professional standards of coaches, uphold long-term systematic training, ensure necessary facilities and equipment, and strive to significantly improve training quality.</w:t>
      </w:r>
    </w:p>
    <w:p w14:paraId="38208EB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(2)</w:t>
      </w:r>
    </w:p>
    <w:p w14:paraId="0F36D86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Except for those delivered to elite teams, graduates of amateur sports schools face further education and employment. The contradiction between study and training must be properly resolved, ensuring sufficient training time while maintaining academic performance at least equivalent to the average level of ordinary secondary schools.</w:t>
      </w:r>
    </w:p>
    <w:p w14:paraId="28A4ADE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Effective approaches for ordinary amateur sports schools include:</w:t>
      </w:r>
    </w:p>
    <w:p w14:paraId="133D486D">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Concentrating students in one primary or secondary school (preferably a key school) and organizing separate classes;</w:t>
      </w:r>
    </w:p>
    <w:p w14:paraId="481DD5BA">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Appropriately reducing training frequency and duration;</w:t>
      </w:r>
    </w:p>
    <w:p w14:paraId="66DC5A82">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Assigning coaches to schools with good training conditions, especially those with established traditional sports programs;</w:t>
      </w:r>
    </w:p>
    <w:p w14:paraId="6479ABB2">
      <w:pPr>
        <w:keepNext w:val="0"/>
        <w:keepLines w:val="0"/>
        <w:widowControl/>
        <w:numPr>
          <w:ilvl w:val="0"/>
          <w:numId w:val="2"/>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Where conditions permit, employing academic teachers directly and operating independently.</w:t>
      </w:r>
    </w:p>
    <w:p w14:paraId="1701126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Key amateur sports schools may adopt either of the following:</w:t>
      </w:r>
    </w:p>
    <w:p w14:paraId="2981BA79">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Five academic classes per day plus three hours of training (including morning sessions);</w:t>
      </w:r>
    </w:p>
    <w:p w14:paraId="66BB5408">
      <w:pPr>
        <w:keepNext w:val="0"/>
        <w:keepLines w:val="0"/>
        <w:widowControl/>
        <w:numPr>
          <w:ilvl w:val="0"/>
          <w:numId w:val="3"/>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 half study–half training system with the academic program extended by one year.</w:t>
      </w:r>
    </w:p>
    <w:p w14:paraId="586774C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 xml:space="preserve">Key amateur sports schools are essentially ordinary secondary schools and represent a higher-level form of youth amateur training. They should be renamed as </w:t>
      </w:r>
      <w:r>
        <w:rPr>
          <w:rStyle w:val="9"/>
          <w:rFonts w:hint="default" w:ascii="Times New Roman" w:hAnsi="Times New Roman" w:cs="Times New Roman"/>
        </w:rPr>
        <w:t>sports secondary schools</w:t>
      </w:r>
      <w:r>
        <w:rPr>
          <w:rFonts w:hint="default" w:ascii="Times New Roman" w:hAnsi="Times New Roman" w:cs="Times New Roman"/>
        </w:rPr>
        <w:t xml:space="preserve"> or given the name of ordinary secondary schools to align form and substance and facilitate formal inclusion in the national education system. Provinces, municipalities, and autonomous regions should gradually convert key amateur sports schools into sports secondary schools in a planned manner.</w:t>
      </w:r>
    </w:p>
    <w:p w14:paraId="3B0ACA5A">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(3)</w:t>
      </w:r>
    </w:p>
    <w:p w14:paraId="36E8E22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Continue to run sports schools effectively. At present, 17 provinces, municipalities, and autonomous regions operate 17 sports schools. These institutions have no separate athletic or PE teacher-training divisions; they both cultivate reserve athletes for elite teams and train physical education teachers for primary and secondary schools.</w:t>
      </w:r>
    </w:p>
    <w:p w14:paraId="1BBC992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Based on preliminary experience:</w:t>
      </w:r>
    </w:p>
    <w:p w14:paraId="5C57F11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Students in athletic classes who are not transferred to elite teams may move to PE teacher-training classes (secondary specialized level);</w:t>
      </w:r>
    </w:p>
    <w:p w14:paraId="3EA8C1F2">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After high school graduation, they study two years; after junior high graduation, three years;</w:t>
      </w:r>
    </w:p>
    <w:p w14:paraId="77E263FB">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Athletic classes arrange academics and training according to key amateur sports school standards;</w:t>
      </w:r>
    </w:p>
    <w:p w14:paraId="0642EBD4">
      <w:pPr>
        <w:keepNext w:val="0"/>
        <w:keepLines w:val="0"/>
        <w:widowControl/>
        <w:numPr>
          <w:ilvl w:val="0"/>
          <w:numId w:val="4"/>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PE teacher-training classes follow curricula designed for preparing school PE teachers.</w:t>
      </w:r>
    </w:p>
    <w:p w14:paraId="7407322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(4)</w:t>
      </w:r>
    </w:p>
    <w:p w14:paraId="5442F82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programs offered by amateur sports schools must be adjusted. According to local conditions, key Olympic events should be emphasized, track and field widely established, and alignment maintained with elite team programs. Single-sport or two- to three-sport schools are encouraged.</w:t>
      </w:r>
    </w:p>
    <w:p w14:paraId="647AC63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gymnastics, swimming, diving, and figure skating, provinces assigned key layout responsibilities should strive within one to two years to establish specialized sports schools to ensure a continuous pipeline of talent.</w:t>
      </w:r>
    </w:p>
    <w:p w14:paraId="7EF1266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(5)</w:t>
      </w:r>
    </w:p>
    <w:p w14:paraId="15840D6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Amateur training pathways should be broadened. Encourage factories, enterprises, children’s palaces, cultural centers, and universities to establish amateur sports schools. Strengthen extracurricular training in primary and secondary schools through representative teams, training centers, and sports classes. Utilize public sports venues and organize training camps during winter and summer vacations.</w:t>
      </w:r>
    </w:p>
    <w:p w14:paraId="3B0543F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68571B5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 Improve Upward and Downward Linkages</w:t>
      </w:r>
    </w:p>
    <w:p w14:paraId="1641C53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Amateur sports schools serve as the middle link in the training network and must ensure coordination both downward (with primary and secondary schools) and upward (with elite teams).</w:t>
      </w:r>
    </w:p>
    <w:p w14:paraId="20DD7C92">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Unify understanding among coaches of elite teams and amateur schools under the principle of “one unified chessboard of thought.”</w:t>
      </w:r>
    </w:p>
    <w:p w14:paraId="75999753">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unified organizational management of elite teams and amateur training.</w:t>
      </w:r>
    </w:p>
    <w:p w14:paraId="366AC8A3">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Strictly implement age regulations for athlete intake into elite teams.</w:t>
      </w:r>
    </w:p>
    <w:p w14:paraId="707A322E">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Require elite teams to guide amateur schools and rotate coaches for support.</w:t>
      </w:r>
    </w:p>
    <w:p w14:paraId="2FB8526C">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Require amateur schools to guide local school training and maintain regular contact with grassroots training sites.</w:t>
      </w:r>
    </w:p>
    <w:p w14:paraId="761FEEB2">
      <w:pPr>
        <w:keepNext w:val="0"/>
        <w:keepLines w:val="0"/>
        <w:widowControl/>
        <w:numPr>
          <w:ilvl w:val="0"/>
          <w:numId w:val="5"/>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Ensure rational age distribution across ordinary schools, key schools, and sports schools.</w:t>
      </w:r>
    </w:p>
    <w:p w14:paraId="4158007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4E30986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III. Strive to Improve Teaching and Training Quality</w:t>
      </w:r>
    </w:p>
    <w:p w14:paraId="01A5C2BA">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Strict talent identification according to national standards.</w:t>
      </w:r>
    </w:p>
    <w:p w14:paraId="75C4C70A">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Study and effectively utilize national training syllabi and textbooks.</w:t>
      </w:r>
    </w:p>
    <w:p w14:paraId="571FDD17">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Improve coaches’ ideological and professional standards through training programs.</w:t>
      </w:r>
    </w:p>
    <w:p w14:paraId="5485C008">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Enhance coaches’ status, evaluation, and incentives.</w:t>
      </w:r>
    </w:p>
    <w:p w14:paraId="75F9B622">
      <w:pPr>
        <w:keepNext w:val="0"/>
        <w:keepLines w:val="0"/>
        <w:widowControl/>
        <w:numPr>
          <w:ilvl w:val="0"/>
          <w:numId w:val="6"/>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Strengthen scientific research and institutionalize coaching exchanges and observation activities.</w:t>
      </w:r>
    </w:p>
    <w:p w14:paraId="5B10F45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43CE661D">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IV. Properly Handle the Relationship Between Competition and Training</w:t>
      </w:r>
    </w:p>
    <w:p w14:paraId="6AF7A85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Competitions should serve training objectives. They must:</w:t>
      </w:r>
    </w:p>
    <w:p w14:paraId="5552084E">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Align with training requirements;</w:t>
      </w:r>
    </w:p>
    <w:p w14:paraId="55E9F2FC">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Reflect athlete physical selection standards;</w:t>
      </w:r>
    </w:p>
    <w:p w14:paraId="76712D91">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Emphasize physical qualities and basic techniques;</w:t>
      </w:r>
    </w:p>
    <w:p w14:paraId="0B31F6B7">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Promote desired technical and tactical styles;</w:t>
      </w:r>
    </w:p>
    <w:p w14:paraId="73306036">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Support key project development;</w:t>
      </w:r>
    </w:p>
    <w:p w14:paraId="716D95BF">
      <w:pPr>
        <w:keepNext w:val="0"/>
        <w:keepLines w:val="0"/>
        <w:widowControl/>
        <w:numPr>
          <w:ilvl w:val="0"/>
          <w:numId w:val="7"/>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Minimize disruption to academic study and reduce expenses.</w:t>
      </w:r>
    </w:p>
    <w:p w14:paraId="0D7412B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Training must adhere to the principle of “early cultivation, solid foundation, systematic training, active improvement.” Physical qualities and basic techniques form the foundation for sustained technical advancement. Short-term pursuit of results at the expense of fundamentals must be overcome.</w:t>
      </w:r>
    </w:p>
    <w:p w14:paraId="6A105262">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2C9156"/>
    <w:multiLevelType w:val="multilevel"/>
    <w:tmpl w:val="D02C915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D33CF7EC"/>
    <w:multiLevelType w:val="multilevel"/>
    <w:tmpl w:val="D33CF7E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0433FEFF"/>
    <w:multiLevelType w:val="multilevel"/>
    <w:tmpl w:val="0433FEF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3B72DA62"/>
    <w:multiLevelType w:val="multilevel"/>
    <w:tmpl w:val="3B72DA6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5E690FC5"/>
    <w:multiLevelType w:val="multilevel"/>
    <w:tmpl w:val="5E690FC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7FB68358"/>
    <w:multiLevelType w:val="multilevel"/>
    <w:tmpl w:val="7FB6835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7FF7C5CD"/>
    <w:multiLevelType w:val="multilevel"/>
    <w:tmpl w:val="7FF7C5C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3"/>
  </w:num>
  <w:num w:numId="2">
    <w:abstractNumId w:val="4"/>
  </w:num>
  <w:num w:numId="3">
    <w:abstractNumId w:val="1"/>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B2222B"/>
    <w:rsid w:val="1ECB5101"/>
    <w:rsid w:val="21B61AB9"/>
    <w:rsid w:val="2511775C"/>
    <w:rsid w:val="34C12DD7"/>
    <w:rsid w:val="37A22B01"/>
    <w:rsid w:val="3FA05B96"/>
    <w:rsid w:val="412B6CE1"/>
    <w:rsid w:val="43D55E57"/>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4333</Words>
  <Characters>4386</Characters>
  <Lines>0</Lines>
  <Paragraphs>0</Paragraphs>
  <TotalTime>46</TotalTime>
  <ScaleCrop>false</ScaleCrop>
  <LinksUpToDate>false</LinksUpToDate>
  <CharactersWithSpaces>4408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896E248F5EE94361A20E1FE38DBBCE17_13</vt:lpwstr>
  </property>
  <property fmtid="{D5CDD505-2E9C-101B-9397-08002B2CF9AE}" pid="4" name="KSOTemplateDocerSaveRecord">
    <vt:lpwstr>eyJoZGlkIjoiOTM3YTZhMmQ5YjRkYWU4ZjU1Y2RhODcyN2E4MDQ1YWIiLCJ1c2VySWQiOiI0MzUzNTQ5NTIifQ==</vt:lpwstr>
  </property>
</Properties>
</file>